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720"/>
        <w:jc w:val="right"/>
        <w:rPr>
          <w:rFonts w:hint="default"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 w:eastAsia="Calibri"/>
          <w:bCs/>
          <w:sz w:val="24"/>
          <w:szCs w:val="24"/>
          <w:lang w:eastAsia="en-US"/>
        </w:rPr>
        <w:t xml:space="preserve">Приложение № 1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К муниципальной программе                                                                                                                                                                                     «Муниципальное управление                                                                                                                                                                                          Большеврудского сельского поселения                                                                                                                                                                                Волосовского муниципального района                                                                                                                                                                             Ленинградской области»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в редакции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Постановления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МО Большеврудское СП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hint="default" w:ascii="Times New Roman" w:hAnsi="Times New Roman"/>
          <w:sz w:val="18"/>
          <w:szCs w:val="18"/>
          <w:lang w:val="ru-RU"/>
        </w:rPr>
        <w:t>25</w:t>
      </w:r>
      <w:r>
        <w:rPr>
          <w:rFonts w:ascii="Times New Roman" w:hAnsi="Times New Roman"/>
          <w:sz w:val="18"/>
          <w:szCs w:val="18"/>
        </w:rPr>
        <w:t>.</w:t>
      </w:r>
      <w:r>
        <w:rPr>
          <w:rFonts w:hint="default" w:ascii="Times New Roman" w:hAnsi="Times New Roman"/>
          <w:sz w:val="18"/>
          <w:szCs w:val="18"/>
          <w:lang w:val="ru-RU"/>
        </w:rPr>
        <w:t>03</w:t>
      </w:r>
      <w:r>
        <w:rPr>
          <w:rFonts w:ascii="Times New Roman" w:hAnsi="Times New Roman"/>
          <w:sz w:val="18"/>
          <w:szCs w:val="18"/>
        </w:rPr>
        <w:t xml:space="preserve">.2022 года № </w:t>
      </w:r>
      <w:r>
        <w:rPr>
          <w:rFonts w:hint="default" w:ascii="Times New Roman" w:hAnsi="Times New Roman"/>
          <w:sz w:val="18"/>
          <w:szCs w:val="18"/>
          <w:lang w:val="ru-RU"/>
        </w:rPr>
        <w:t>93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Перечень проектов и комплексов процессных мероприятий муниципальной программы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6"/>
        </w:rPr>
      </w:pPr>
    </w:p>
    <w:tbl>
      <w:tblPr>
        <w:tblStyle w:val="3"/>
        <w:tblW w:w="1474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695"/>
        <w:gridCol w:w="1134"/>
        <w:gridCol w:w="1417"/>
        <w:gridCol w:w="2551"/>
        <w:gridCol w:w="3119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6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проекта, комплекса процессных мероприятий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Сроки реализации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проекта</w:t>
            </w:r>
          </w:p>
        </w:tc>
        <w:tc>
          <w:tcPr>
            <w:tcW w:w="25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Показатели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муниципальной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311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Задачи муниципальной программы </w:t>
            </w: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 (задачи)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плана мероприятий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реализации Стратегии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6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функций представительных органов местного самоуправления»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2022-2024 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доля выплач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 w:themeColor="text1"/>
              </w:rPr>
              <w:t>енных объемов денежного содержания главы мо, прочих и иных выплат от запланированных к выплате,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доля выплаченных объемов денежного содержания работникам органов местного самоуправления, прочих и иных выплат от запланированных к выплате,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доля работников органов местного самоуправления, обеспеченных рабочим пространством в соответствии с нормами трудового законодательства по отношению к общему числу работников,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доля автоматизированных рабочих мест, обеспеченных доступом к сети «интернет», в том числе к служебной электронной почте от числа подлежащих обеспечению,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доля перечисленных обязательных платежей от объемов, запланированных к уплате,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текущей деятельности органов местного самоуправления  муниципального образования,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количества изменений и уточнений, вносимых в решение о бюджете на очередной финансовый год и плановый период, ед.;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уровень освоения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заключенному соглашению,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уровень освоения средств по переданным полномочиям,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исполнение расходных обязательств по выплате доплат к пенсиям муниципальных служащих администрации, </w:t>
            </w:r>
            <w:r>
              <w:rPr>
                <w:rFonts w:ascii="Times New Roman" w:hAnsi="Times New Roman"/>
                <w:sz w:val="24"/>
                <w:szCs w:val="24"/>
              </w:rPr>
              <w:t>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повышение квалификации, обучение, подготовка муниципальных служащих, ед.;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размещение сведений о доходах, расходах, имуществе и обязательствах имущественного характера муниципальных служащих, включённых в перечень лиц, сведения которых подлежат опубликованию, на официальном сайте муниципального образования,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сотрудников администрации доступом к справочно-правовой системе,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Cs w:val="24"/>
              </w:rPr>
              <w:t>- уровень освоения средств, направленных из бюджета поселения на выполнение части полномочий (функций) по осуществлению внешнего муниципального финансового контроля, согласно заключенному соглашению, %</w:t>
            </w:r>
          </w:p>
        </w:tc>
        <w:tc>
          <w:tcPr>
            <w:tcW w:w="3119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совершенствование организационных и правовых механизмов профессиональной служебной деятельности муниципальных служащих;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развитие системы подготовки кадров для муниципальной службы, дополнительного профессионального образования муниципальных служащих;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доступа граждан к информации о деятельности органов местного самоуправления Большеврудского сельского поселения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оперативности и полноты контроля за деятельностью органов местного самоуправления;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оперативного освещения в СМИ деятельности органов местного самоуправления;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повышение эффективности функционирования муниципального управления в рамках исполнения возложенных полномочий на органы местного самоуправления;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развитие нормативной правовой базы по вопросам муниципальной службы;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повышение качества управления и уровня исполнительской дисциплины органов местного самоуправления;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повышение качества исполнения бюджета поселения;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реализация программно-целевого принципа планирования и исполнения бюджета поселения;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информационной безопасности деятельности органов местного самоуправления, защиты муниципальных информационных ресурсов;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повышение качества и доступности информации о бюджетной системе и бюджетном процессе поселения;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совершенствование межбюджетных отношений;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рациональное использование средств федерального, областного, местного бюджетов на материально – техническое обеспечение деятельности органов местного самоуправления</w:t>
            </w:r>
          </w:p>
        </w:tc>
        <w:tc>
          <w:tcPr>
            <w:tcW w:w="3118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- </w:t>
            </w:r>
            <w:r>
              <w:rPr>
                <w:rFonts w:ascii="Times New Roman" w:hAnsi="Times New Roman"/>
                <w:szCs w:val="26"/>
              </w:rPr>
              <w:t>формирование квалифицированного кадрового состава муниципальной службы и обеспечение эффективной деятельности органов местного самоуправления;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жителей Большеврудского сельского поселения оперативной и достоверной информации о важнейших общественно-политических, социально-культурных событиях, деятельности администрации и совета депутатов Большеврудского сельского поселения;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ресурсное обеспечение деятельности органов местного самоуправления Большеврудского сельского поселения для максимально – эффективного исполнения ими своих полномочий.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муниципального управления»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2022-2024 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51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«Расходы на обеспечение деятельности органа финансового (финансово-бюджетного) надзора (контроля) в соответствии с бюджетным законодательством»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2022-2024 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119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118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«Мероприятия по управлению муниципальным имуществом и земельными ресурсами»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2022-2024 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 количество разработанных картопланов, зон населенных пунктов, генерального плана, положения территориального планирования, ед.</w:t>
            </w:r>
          </w:p>
        </w:tc>
        <w:tc>
          <w:tcPr>
            <w:tcW w:w="311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создание условий для эффективного управления муниципальным имуществом и земельными участками;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создание условий для повышения качества финансового управления бюджетных средств;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эффективного управления, распоряжения имуществом и земельными участками;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рациональное администрирование неналоговых доходов;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оптимизация учёта муниципального имущества;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сбалансированности и устойчивости бюджета поселения;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увеличение доходов от использования муниципального имущества, для пополнения доходной части бюджета сельского поселения</w:t>
            </w: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 эффективное управление муниципальным имуществом;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Cs w:val="24"/>
              </w:rPr>
              <w:t>- рациональное и эффективное использование земельных участков и муниципального имущества и находящихся в муниципальной собственности</w:t>
            </w:r>
          </w:p>
        </w:tc>
      </w:tr>
    </w:tbl>
    <w:p/>
    <w:sectPr>
      <w:pgSz w:w="16838" w:h="11906" w:orient="landscape"/>
      <w:pgMar w:top="1135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D0F7E"/>
    <w:rsid w:val="00053D43"/>
    <w:rsid w:val="001171F0"/>
    <w:rsid w:val="00292A12"/>
    <w:rsid w:val="008536D1"/>
    <w:rsid w:val="00A46663"/>
    <w:rsid w:val="00AD409F"/>
    <w:rsid w:val="00B4723A"/>
    <w:rsid w:val="00B475A3"/>
    <w:rsid w:val="00DD0F7E"/>
    <w:rsid w:val="24325A94"/>
    <w:rsid w:val="7FBB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onsPlusNormal"/>
    <w:link w:val="5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5">
    <w:name w:val="ConsPlusNormal Знак"/>
    <w:link w:val="4"/>
    <w:locked/>
    <w:uiPriority w:val="99"/>
    <w:rPr>
      <w:rFonts w:ascii="Arial" w:hAnsi="Arial" w:eastAsia="Times New Roman" w:cs="Arial"/>
      <w:sz w:val="20"/>
      <w:szCs w:val="20"/>
      <w:lang w:eastAsia="ru-RU"/>
    </w:rPr>
  </w:style>
  <w:style w:type="paragraph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1240</Words>
  <Characters>7071</Characters>
  <Lines>58</Lines>
  <Paragraphs>16</Paragraphs>
  <TotalTime>37</TotalTime>
  <ScaleCrop>false</ScaleCrop>
  <LinksUpToDate>false</LinksUpToDate>
  <CharactersWithSpaces>8295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2022-11-28T10:23:00Z</dcterms:created>
  <dc:creator>User</dc:creator>
  <cp:lastModifiedBy>Надежда</cp:lastModifiedBy>
  <dcterms:modified xsi:type="dcterms:W3CDTF">2024-03-09T11:08:45Z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343FBE8C95514646AC985475910074A6_12</vt:lpwstr>
  </property>
</Properties>
</file>