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5F" w:rsidRPr="00AB735F" w:rsidRDefault="00AB735F" w:rsidP="00AB735F">
      <w:pPr>
        <w:pStyle w:val="s26"/>
        <w:spacing w:before="0" w:beforeAutospacing="0" w:after="0" w:afterAutospacing="0"/>
        <w:ind w:firstLine="525"/>
        <w:jc w:val="center"/>
        <w:rPr>
          <w:rStyle w:val="bumpedfont15"/>
          <w:b/>
          <w:sz w:val="28"/>
          <w:szCs w:val="28"/>
        </w:rPr>
      </w:pPr>
      <w:r w:rsidRPr="00AB735F">
        <w:rPr>
          <w:rStyle w:val="bumpedfont15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Style w:val="bumpedfont15"/>
          <w:b/>
          <w:sz w:val="28"/>
          <w:szCs w:val="28"/>
        </w:rPr>
        <w:t xml:space="preserve"> в рамках осуществления муниципального </w:t>
      </w:r>
      <w:r w:rsidR="0075274C">
        <w:rPr>
          <w:rStyle w:val="bumpedfont15"/>
          <w:b/>
          <w:sz w:val="28"/>
          <w:szCs w:val="28"/>
        </w:rPr>
        <w:t xml:space="preserve">лесного </w:t>
      </w:r>
      <w:r>
        <w:rPr>
          <w:rStyle w:val="bumpedfont15"/>
          <w:b/>
          <w:sz w:val="28"/>
          <w:szCs w:val="28"/>
        </w:rPr>
        <w:t xml:space="preserve">контроля </w:t>
      </w:r>
    </w:p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75274C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Муниципальный лесной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75274C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E072F">
        <w:rPr>
          <w:rStyle w:val="bumpedfont15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75274C" w:rsidRPr="00037D72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rFonts w:eastAsia="Times New Roman"/>
          <w:sz w:val="28"/>
          <w:szCs w:val="20"/>
        </w:rPr>
      </w:pPr>
      <w:r w:rsidRPr="00037D72">
        <w:rPr>
          <w:rFonts w:eastAsia="Times New Roman"/>
          <w:sz w:val="28"/>
          <w:szCs w:val="20"/>
        </w:rPr>
        <w:t>высокий риск;</w:t>
      </w:r>
    </w:p>
    <w:p w:rsidR="0075274C" w:rsidRPr="002E072F" w:rsidRDefault="0075274C" w:rsidP="0075274C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средний риск;</w:t>
      </w:r>
    </w:p>
    <w:p w:rsidR="0075274C" w:rsidRPr="002E072F" w:rsidRDefault="0075274C" w:rsidP="0075274C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умеренный риск;</w:t>
      </w:r>
    </w:p>
    <w:p w:rsidR="0075274C" w:rsidRPr="002E072F" w:rsidRDefault="0075274C" w:rsidP="0075274C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низкий риск.</w:t>
      </w: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 установлены приложением 1 к Положению</w:t>
      </w:r>
      <w:r>
        <w:rPr>
          <w:rStyle w:val="bumpedfont15"/>
          <w:sz w:val="28"/>
          <w:szCs w:val="28"/>
        </w:rPr>
        <w:t xml:space="preserve"> </w:t>
      </w:r>
      <w:r w:rsidRPr="0075274C">
        <w:rPr>
          <w:rStyle w:val="bumpedfont15"/>
          <w:sz w:val="28"/>
          <w:szCs w:val="28"/>
        </w:rPr>
        <w:t>о муниципальном лесном контроле на территории муниципального образования Большеврудское сельское поселение Волосовского муниципального</w:t>
      </w:r>
      <w:r>
        <w:rPr>
          <w:rStyle w:val="bumpedfont15"/>
          <w:sz w:val="28"/>
          <w:szCs w:val="28"/>
        </w:rPr>
        <w:t xml:space="preserve"> района Ленинградской области</w:t>
      </w:r>
      <w:r w:rsidRPr="002E072F">
        <w:rPr>
          <w:rStyle w:val="bumpedfont15"/>
          <w:sz w:val="28"/>
          <w:szCs w:val="28"/>
        </w:rPr>
        <w:t>.</w:t>
      </w: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приложением 2 к Положению. </w:t>
      </w: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75274C" w:rsidRPr="002E072F" w:rsidRDefault="0075274C" w:rsidP="0075274C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E072F">
        <w:rPr>
          <w:rStyle w:val="bumpedfont15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AB735F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5274C" w:rsidRDefault="0075274C" w:rsidP="00AB735F">
      <w:pPr>
        <w:widowControl w:val="0"/>
        <w:jc w:val="right"/>
        <w:rPr>
          <w:rFonts w:eastAsia="Times New Roman"/>
          <w:color w:val="000000"/>
          <w:sz w:val="28"/>
          <w:szCs w:val="28"/>
        </w:rPr>
      </w:pPr>
    </w:p>
    <w:p w:rsidR="0075274C" w:rsidRDefault="0075274C" w:rsidP="00AB735F">
      <w:pPr>
        <w:widowControl w:val="0"/>
        <w:jc w:val="right"/>
        <w:rPr>
          <w:rFonts w:eastAsia="Times New Roman"/>
          <w:color w:val="000000"/>
          <w:sz w:val="28"/>
          <w:szCs w:val="28"/>
        </w:rPr>
      </w:pPr>
    </w:p>
    <w:p w:rsidR="00C23129" w:rsidRPr="002E072F" w:rsidRDefault="00C23129" w:rsidP="00C2312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  <w:vertAlign w:val="superscript"/>
        </w:rPr>
      </w:pPr>
      <w:r w:rsidRPr="002E072F">
        <w:rPr>
          <w:sz w:val="28"/>
          <w:szCs w:val="28"/>
        </w:rPr>
        <w:lastRenderedPageBreak/>
        <w:t xml:space="preserve">Приложение 1 к Положению </w:t>
      </w:r>
    </w:p>
    <w:p w:rsidR="00C23129" w:rsidRPr="002E072F" w:rsidRDefault="00C23129" w:rsidP="00C23129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C23129" w:rsidRPr="002E072F" w:rsidRDefault="00C23129" w:rsidP="00C23129">
      <w:pPr>
        <w:jc w:val="center"/>
        <w:rPr>
          <w:b/>
          <w:sz w:val="28"/>
          <w:szCs w:val="28"/>
        </w:rPr>
      </w:pPr>
      <w:r w:rsidRPr="002E072F">
        <w:rPr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C23129" w:rsidRPr="002E072F" w:rsidRDefault="00C23129" w:rsidP="00C23129">
      <w:pPr>
        <w:jc w:val="center"/>
        <w:rPr>
          <w:sz w:val="28"/>
          <w:szCs w:val="28"/>
        </w:rPr>
      </w:pPr>
      <w:r w:rsidRPr="002E072F">
        <w:rPr>
          <w:b/>
          <w:sz w:val="28"/>
          <w:szCs w:val="28"/>
        </w:rPr>
        <w:t>в рамках осуществления муниципального контроля</w:t>
      </w:r>
    </w:p>
    <w:p w:rsidR="00C23129" w:rsidRPr="002E072F" w:rsidRDefault="00C23129" w:rsidP="00C23129">
      <w:pPr>
        <w:spacing w:before="240"/>
        <w:ind w:firstLine="709"/>
        <w:jc w:val="both"/>
        <w:rPr>
          <w:sz w:val="16"/>
          <w:szCs w:val="16"/>
        </w:rPr>
      </w:pPr>
      <w:r w:rsidRPr="002E072F">
        <w:rPr>
          <w:sz w:val="28"/>
          <w:szCs w:val="28"/>
        </w:rPr>
        <w:t xml:space="preserve"> 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C23129" w:rsidRPr="00A26741" w:rsidRDefault="00C23129" w:rsidP="00C23129">
      <w:pPr>
        <w:ind w:firstLine="709"/>
        <w:jc w:val="both"/>
        <w:rPr>
          <w:sz w:val="28"/>
          <w:szCs w:val="28"/>
        </w:rPr>
      </w:pPr>
      <w:r w:rsidRPr="00A26741">
        <w:rPr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C23129" w:rsidRPr="00A26741" w:rsidRDefault="00C23129" w:rsidP="00C23129">
      <w:pPr>
        <w:ind w:firstLine="709"/>
        <w:jc w:val="both"/>
        <w:rPr>
          <w:sz w:val="28"/>
          <w:szCs w:val="28"/>
        </w:rPr>
      </w:pPr>
      <w:r w:rsidRPr="00A26741">
        <w:rPr>
          <w:sz w:val="28"/>
          <w:szCs w:val="28"/>
        </w:rPr>
        <w:t xml:space="preserve">при значении показателя риска от 5 до 6 </w:t>
      </w:r>
      <w:r>
        <w:rPr>
          <w:sz w:val="28"/>
          <w:szCs w:val="28"/>
        </w:rPr>
        <w:t xml:space="preserve">включительно </w:t>
      </w:r>
      <w:r w:rsidRPr="00A26741">
        <w:rPr>
          <w:sz w:val="28"/>
          <w:szCs w:val="28"/>
        </w:rPr>
        <w:t>- к категории среднего риска;</w:t>
      </w:r>
    </w:p>
    <w:p w:rsidR="00C23129" w:rsidRPr="00A26741" w:rsidRDefault="00C23129" w:rsidP="00C23129">
      <w:pPr>
        <w:ind w:firstLine="709"/>
        <w:jc w:val="both"/>
        <w:rPr>
          <w:sz w:val="28"/>
          <w:szCs w:val="28"/>
        </w:rPr>
      </w:pPr>
      <w:r w:rsidRPr="00A26741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C23129" w:rsidRDefault="00C23129" w:rsidP="00C23129">
      <w:pPr>
        <w:ind w:firstLine="709"/>
        <w:jc w:val="both"/>
        <w:rPr>
          <w:sz w:val="28"/>
          <w:szCs w:val="28"/>
        </w:rPr>
      </w:pPr>
      <w:r w:rsidRPr="00A26741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2. Показатель риска рассчитывается по следующей формуле: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К = 2 x V</w:t>
      </w:r>
      <w:r w:rsidRPr="002E072F">
        <w:rPr>
          <w:sz w:val="28"/>
          <w:szCs w:val="28"/>
          <w:vertAlign w:val="subscript"/>
        </w:rPr>
        <w:t>1</w:t>
      </w:r>
      <w:r w:rsidRPr="002E072F">
        <w:rPr>
          <w:sz w:val="28"/>
          <w:szCs w:val="28"/>
        </w:rPr>
        <w:t xml:space="preserve"> + V</w:t>
      </w:r>
      <w:r w:rsidRPr="002E072F">
        <w:rPr>
          <w:sz w:val="28"/>
          <w:szCs w:val="28"/>
          <w:vertAlign w:val="subscript"/>
        </w:rPr>
        <w:t>2</w:t>
      </w:r>
      <w:r w:rsidRPr="002E072F">
        <w:rPr>
          <w:sz w:val="28"/>
          <w:szCs w:val="28"/>
        </w:rPr>
        <w:t xml:space="preserve"> + 2 x V</w:t>
      </w:r>
      <w:r w:rsidRPr="002E072F">
        <w:rPr>
          <w:sz w:val="28"/>
          <w:szCs w:val="28"/>
          <w:vertAlign w:val="subscript"/>
        </w:rPr>
        <w:t>3</w:t>
      </w:r>
      <w:r w:rsidRPr="002E072F">
        <w:rPr>
          <w:sz w:val="28"/>
          <w:szCs w:val="28"/>
        </w:rPr>
        <w:t xml:space="preserve">, где: 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К - показатель риска;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V</w:t>
      </w:r>
      <w:r w:rsidRPr="002E072F">
        <w:rPr>
          <w:sz w:val="28"/>
          <w:szCs w:val="28"/>
          <w:vertAlign w:val="subscript"/>
        </w:rPr>
        <w:t>1</w:t>
      </w:r>
      <w:r w:rsidRPr="002E072F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V</w:t>
      </w:r>
      <w:r w:rsidRPr="002E072F">
        <w:rPr>
          <w:sz w:val="28"/>
          <w:szCs w:val="28"/>
          <w:vertAlign w:val="subscript"/>
        </w:rPr>
        <w:t>2</w:t>
      </w:r>
      <w:r w:rsidRPr="002E072F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 объекта контроля к категории риска, постановлений о назначении административного наказания контролируемому лицу (его должностным 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C23129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V</w:t>
      </w:r>
      <w:r w:rsidRPr="002E072F">
        <w:rPr>
          <w:sz w:val="28"/>
          <w:szCs w:val="28"/>
          <w:vertAlign w:val="subscript"/>
        </w:rPr>
        <w:t>3</w:t>
      </w:r>
      <w:r w:rsidRPr="002E072F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</w:p>
    <w:p w:rsidR="00C23129" w:rsidRDefault="00C23129" w:rsidP="00C23129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C23129" w:rsidRPr="002E072F" w:rsidRDefault="00C23129" w:rsidP="00C23129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2E072F">
        <w:rPr>
          <w:sz w:val="28"/>
          <w:szCs w:val="28"/>
        </w:rPr>
        <w:t xml:space="preserve">Приложение 2 к Положению </w:t>
      </w:r>
    </w:p>
    <w:p w:rsidR="00C23129" w:rsidRPr="002E072F" w:rsidRDefault="00C23129" w:rsidP="00C23129">
      <w:pPr>
        <w:jc w:val="center"/>
        <w:rPr>
          <w:b/>
          <w:bCs/>
          <w:sz w:val="28"/>
          <w:szCs w:val="28"/>
        </w:rPr>
      </w:pP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2E072F">
        <w:rPr>
          <w:b/>
          <w:sz w:val="28"/>
          <w:szCs w:val="28"/>
        </w:rPr>
        <w:t>Перечень индикаторов риска нарушения обязательных требований</w:t>
      </w:r>
      <w:r w:rsidRPr="002E072F">
        <w:rPr>
          <w:b/>
          <w:bCs/>
          <w:sz w:val="28"/>
          <w:szCs w:val="28"/>
        </w:rPr>
        <w:t xml:space="preserve">,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2E072F">
        <w:rPr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C23129" w:rsidRPr="002E072F" w:rsidRDefault="00C23129" w:rsidP="00C23129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E072F">
        <w:rPr>
          <w:sz w:val="28"/>
          <w:szCs w:val="28"/>
        </w:rPr>
        <w:t xml:space="preserve">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1. Поступление в Контрольный орган обращений </w:t>
      </w:r>
      <w:r w:rsidRPr="002E072F">
        <w:rPr>
          <w:sz w:val="28"/>
          <w:szCs w:val="28"/>
          <w:lang w:eastAsia="en-US"/>
        </w:rPr>
        <w:t>юридических лиц, индивидуальных предпринимателей и граждан в отношении муниципальных лесных участков</w:t>
      </w:r>
      <w:r w:rsidRPr="002E072F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а) порядку пребывания в лесах контролируемых лиц и (или) транспортных средств в период ограничения или запрета пребывания в лесах;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б) порядку постоянного (бессрочного) пользования лесным участком, ограниченного пользования чужим лесным участком (сервитут, публичный сервитут), аренды лесного участка и безвозмездное пользование лесным участком, предусмотренного статье 9 Лесного Кодекса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в) наличию документов, подтверждающих право осуществлять использование лесов (рубка лесных насаждений, прочее) за исключением случаев, предусмотренных частью 1 статьи 11 Лесного Кодекса;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г) размещению объектов капитального строительства в границах земель лесного фонда или в границах земель иных категорий, на которых располагаются леса;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д) соблюдению правил пожарной безопасности в лесах,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е) соблюдению правил санитарной безопасности в лесах,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ё) запрету заготовки и сбора грибов и дикорастущих растений, виды которых занесены в Красную книгу Российской Федерации, красную книгу Ленинградской области, а также грибов и дикорастущих растений, которые признаются наркотическими средствами в соответствии с Федеральным законом от 08.01.1998 №3-ФЗ «О наркотических средствах и психотропных веществах».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ж) осуществлению мероприятий по сохранению лесов древесины и иных лесных ресурсов.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з) нормам и порядку подсочки лесных насаждений, лесосечных работ </w:t>
      </w:r>
    </w:p>
    <w:p w:rsidR="00C23129" w:rsidRPr="002E072F" w:rsidRDefault="00C23129" w:rsidP="00C23129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2E072F">
        <w:rPr>
          <w:sz w:val="28"/>
          <w:szCs w:val="28"/>
        </w:rPr>
        <w:t>и) правил использования лесов, предусмотренных статье 25 Лесного кодекса.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2. Поступление в Контрольный орган обращений </w:t>
      </w:r>
      <w:r w:rsidRPr="002E072F">
        <w:rPr>
          <w:sz w:val="28"/>
          <w:szCs w:val="28"/>
          <w:lang w:eastAsia="en-US"/>
        </w:rPr>
        <w:t>юридических лиц, индивидуальных предпринимателей и граждан в отношении муниципальных лесных участков</w:t>
      </w:r>
      <w:r w:rsidRPr="002E072F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лесного законодательства, установленных статьей 3 Лесного кодекса, послуживших основанием для проведения внепланового контрольного (надзорного) мероприятия в </w:t>
      </w:r>
      <w:r w:rsidRPr="002E072F">
        <w:rPr>
          <w:sz w:val="28"/>
          <w:szCs w:val="28"/>
        </w:rPr>
        <w:lastRenderedPageBreak/>
        <w:t>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2E072F">
        <w:rPr>
          <w:sz w:val="28"/>
          <w:szCs w:val="28"/>
          <w:lang w:eastAsia="en-US"/>
        </w:rPr>
        <w:t>юридических лиц, индивидуальных предпринимателей и граждан в отношении муниципальных лесных участков</w:t>
      </w:r>
      <w:r w:rsidRPr="002E072F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лесного законодательства, установленных статье 3 Лесного кодекса.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  <w:r w:rsidRPr="002E072F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2E072F">
        <w:rPr>
          <w:sz w:val="28"/>
          <w:szCs w:val="28"/>
          <w:lang w:eastAsia="en-US"/>
        </w:rPr>
        <w:t>юридических лиц, индивидуальных предпринимателей и граждан в отношении муниципальных лесных участков</w:t>
      </w:r>
      <w:r w:rsidRPr="002E072F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C23129" w:rsidRPr="002E072F" w:rsidRDefault="00C23129" w:rsidP="00C23129">
      <w:pPr>
        <w:ind w:firstLine="709"/>
        <w:jc w:val="both"/>
        <w:rPr>
          <w:sz w:val="28"/>
          <w:szCs w:val="28"/>
        </w:rPr>
      </w:pPr>
    </w:p>
    <w:p w:rsidR="00C23129" w:rsidRDefault="00C23129" w:rsidP="00C23129">
      <w:pPr>
        <w:pStyle w:val="ConsPlusNormal"/>
        <w:spacing w:line="192" w:lineRule="auto"/>
        <w:ind w:left="9923" w:right="1" w:hanging="4536"/>
        <w:outlineLvl w:val="1"/>
        <w:rPr>
          <w:sz w:val="28"/>
          <w:szCs w:val="28"/>
        </w:rPr>
      </w:pPr>
    </w:p>
    <w:p w:rsidR="00C23129" w:rsidRDefault="00C23129" w:rsidP="00C23129">
      <w:pPr>
        <w:pStyle w:val="ConsPlusNormal"/>
        <w:spacing w:line="192" w:lineRule="auto"/>
        <w:ind w:left="9923" w:right="1" w:hanging="4536"/>
        <w:outlineLvl w:val="1"/>
        <w:rPr>
          <w:sz w:val="28"/>
          <w:szCs w:val="28"/>
        </w:rPr>
      </w:pPr>
    </w:p>
    <w:p w:rsidR="00C23129" w:rsidRPr="002E072F" w:rsidRDefault="00C23129" w:rsidP="00C23129">
      <w:pPr>
        <w:pStyle w:val="a3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highlight w:val="yellow"/>
        </w:rPr>
      </w:pPr>
    </w:p>
    <w:p w:rsidR="00C23129" w:rsidRPr="002E072F" w:rsidRDefault="00C23129" w:rsidP="00C23129">
      <w:pPr>
        <w:jc w:val="center"/>
        <w:outlineLvl w:val="0"/>
        <w:rPr>
          <w:rStyle w:val="bumpedfont15"/>
          <w:b/>
          <w:bCs/>
          <w:sz w:val="28"/>
          <w:szCs w:val="32"/>
        </w:rPr>
      </w:pPr>
      <w:r w:rsidRPr="002E072F">
        <w:rPr>
          <w:rStyle w:val="bumpedfont15"/>
          <w:b/>
          <w:bCs/>
          <w:sz w:val="28"/>
          <w:szCs w:val="32"/>
        </w:rPr>
        <w:t xml:space="preserve">Перечень показателей результативности и эффективности </w:t>
      </w:r>
    </w:p>
    <w:p w:rsidR="00C23129" w:rsidRPr="002E072F" w:rsidRDefault="00C23129" w:rsidP="00C23129">
      <w:pPr>
        <w:jc w:val="center"/>
        <w:outlineLvl w:val="0"/>
        <w:rPr>
          <w:rStyle w:val="bumpedfont15"/>
          <w:b/>
          <w:bCs/>
          <w:sz w:val="28"/>
          <w:szCs w:val="32"/>
        </w:rPr>
      </w:pPr>
      <w:r w:rsidRPr="002E072F">
        <w:rPr>
          <w:rStyle w:val="bumpedfont15"/>
          <w:b/>
          <w:bCs/>
          <w:sz w:val="28"/>
          <w:szCs w:val="32"/>
        </w:rPr>
        <w:t>муниципального лесного контроля</w:t>
      </w:r>
    </w:p>
    <w:p w:rsidR="00C23129" w:rsidRPr="002E072F" w:rsidRDefault="00C23129" w:rsidP="00C23129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 w:rsidRPr="002E072F">
        <w:rPr>
          <w:sz w:val="27"/>
          <w:szCs w:val="27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1091"/>
      </w:tblGrid>
      <w:tr w:rsidR="00C23129" w:rsidRPr="002E072F" w:rsidTr="00201AF2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C23129" w:rsidRPr="002E072F" w:rsidTr="00201AF2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 xml:space="preserve">Процент устраненных нарушений из числа выявленных нарушений лесного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70%</w:t>
            </w:r>
          </w:p>
        </w:tc>
      </w:tr>
      <w:tr w:rsidR="00C23129" w:rsidRPr="002E072F" w:rsidTr="00201AF2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C23129" w:rsidRPr="002E072F" w:rsidTr="00201AF2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90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C23129" w:rsidRPr="002E072F" w:rsidTr="00201AF2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20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C23129" w:rsidRPr="002E072F" w:rsidTr="00201AF2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5%</w:t>
            </w:r>
          </w:p>
        </w:tc>
      </w:tr>
      <w:tr w:rsidR="00C23129" w:rsidRPr="002E072F" w:rsidTr="00201AF2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 xml:space="preserve">Процент внесенных судебных решений о назначении административного наказания </w:t>
            </w:r>
            <w:r w:rsidRPr="002E072F">
              <w:rPr>
                <w:color w:val="000000"/>
                <w:sz w:val="18"/>
                <w:szCs w:val="18"/>
              </w:rPr>
              <w:br/>
            </w:r>
            <w:r w:rsidRPr="002E072F">
              <w:rPr>
                <w:rStyle w:val="s11"/>
                <w:color w:val="000000"/>
                <w:sz w:val="18"/>
                <w:szCs w:val="18"/>
              </w:rPr>
              <w:t xml:space="preserve">по материалам органа муниципального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95%</w:t>
            </w:r>
          </w:p>
        </w:tc>
      </w:tr>
      <w:tr w:rsidR="00C23129" w:rsidRPr="002E072F" w:rsidTr="00201AF2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129" w:rsidRPr="002E072F" w:rsidRDefault="00C23129" w:rsidP="00201AF2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C23129" w:rsidRPr="002E072F" w:rsidRDefault="00C23129" w:rsidP="00C23129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2E072F">
        <w:rPr>
          <w:sz w:val="27"/>
          <w:szCs w:val="27"/>
        </w:rPr>
        <w:t xml:space="preserve"> </w:t>
      </w:r>
    </w:p>
    <w:p w:rsidR="00C23129" w:rsidRDefault="00C23129" w:rsidP="00C23129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32"/>
          <w:szCs w:val="32"/>
        </w:rPr>
      </w:pPr>
    </w:p>
    <w:p w:rsidR="00C23129" w:rsidRDefault="00C23129" w:rsidP="00C23129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32"/>
          <w:szCs w:val="32"/>
        </w:rPr>
      </w:pPr>
    </w:p>
    <w:p w:rsidR="00C23129" w:rsidRPr="002E072F" w:rsidRDefault="00C23129" w:rsidP="00C23129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bookmarkStart w:id="0" w:name="_GoBack"/>
      <w:bookmarkEnd w:id="0"/>
      <w:r w:rsidRPr="002E072F">
        <w:rPr>
          <w:rStyle w:val="bumpedfont15"/>
          <w:b/>
          <w:bCs/>
          <w:sz w:val="32"/>
          <w:szCs w:val="32"/>
        </w:rPr>
        <w:lastRenderedPageBreak/>
        <w:t>Индикативные показатели</w:t>
      </w:r>
    </w:p>
    <w:p w:rsidR="00C23129" w:rsidRPr="002E072F" w:rsidRDefault="00C23129" w:rsidP="00C23129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2E072F">
        <w:rPr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77"/>
        <w:gridCol w:w="920"/>
        <w:gridCol w:w="3258"/>
        <w:gridCol w:w="630"/>
        <w:gridCol w:w="1880"/>
      </w:tblGrid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7"/>
                <w:b/>
                <w:bCs/>
                <w:color w:val="444444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= (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выполняемость плановых заданий (осмотров) %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-количество проведенных плановых заданий (осмотров)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Утвержденные плановые задания (осмотры)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= (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выполняемость внеплановых проверок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внеплановых проверок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C23129" w:rsidRPr="002E072F" w:rsidTr="00201AF2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Ж x 100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Ж - количество жалоб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x 100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проверок, признанных недействительными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х 100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заявлений, по которым пришел отказ в согласовании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х 100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К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нм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материалов, направленных в уполномоченные органы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3129" w:rsidRPr="002E072F" w:rsidTr="00201AF2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Км /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= </w:t>
            </w: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rStyle w:val="s68"/>
                <w:color w:val="444444"/>
                <w:sz w:val="18"/>
                <w:szCs w:val="18"/>
              </w:rPr>
              <w:t>Км - количество контрольных мероприятий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количество работников органа муниципального контроля (ед.)</w:t>
            </w:r>
          </w:p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2E072F"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 w:rsidRPr="002E072F">
              <w:rPr>
                <w:rStyle w:val="s68"/>
                <w:color w:val="444444"/>
                <w:sz w:val="18"/>
                <w:szCs w:val="18"/>
              </w:rPr>
              <w:t xml:space="preserve"> 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23129" w:rsidRPr="002E072F" w:rsidRDefault="00C23129" w:rsidP="00201AF2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7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23129" w:rsidRPr="002E072F" w:rsidRDefault="00C23129" w:rsidP="00C23129"/>
    <w:p w:rsidR="00C23129" w:rsidRPr="002E072F" w:rsidRDefault="00C23129" w:rsidP="00C23129">
      <w:pPr>
        <w:spacing w:after="360"/>
        <w:jc w:val="center"/>
        <w:outlineLvl w:val="0"/>
        <w:rPr>
          <w:b/>
          <w:sz w:val="28"/>
          <w:szCs w:val="28"/>
        </w:rPr>
      </w:pPr>
    </w:p>
    <w:p w:rsidR="00C23129" w:rsidRPr="002E072F" w:rsidRDefault="00C23129" w:rsidP="00C23129">
      <w:pPr>
        <w:rPr>
          <w:sz w:val="2"/>
          <w:szCs w:val="2"/>
        </w:rPr>
      </w:pPr>
    </w:p>
    <w:p w:rsidR="00C23129" w:rsidRPr="002E072F" w:rsidRDefault="00C23129" w:rsidP="00C23129">
      <w:pPr>
        <w:pStyle w:val="s49"/>
        <w:spacing w:before="0" w:beforeAutospacing="0" w:after="0" w:afterAutospacing="0" w:line="324" w:lineRule="atLeast"/>
        <w:ind w:firstLine="540"/>
        <w:jc w:val="center"/>
      </w:pPr>
    </w:p>
    <w:p w:rsidR="00E712FD" w:rsidRDefault="00E712FD" w:rsidP="00C23129">
      <w:pPr>
        <w:widowControl w:val="0"/>
        <w:jc w:val="right"/>
      </w:pPr>
    </w:p>
    <w:sectPr w:rsidR="00E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F"/>
    <w:rsid w:val="000755DD"/>
    <w:rsid w:val="0075274C"/>
    <w:rsid w:val="00AB735F"/>
    <w:rsid w:val="00C23129"/>
    <w:rsid w:val="00E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804F"/>
  <w15:chartTrackingRefBased/>
  <w15:docId w15:val="{4AFF0E29-C7B3-440F-A095-84496A2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B735F"/>
    <w:pPr>
      <w:spacing w:before="100" w:beforeAutospacing="1" w:after="100" w:afterAutospacing="1"/>
    </w:pPr>
  </w:style>
  <w:style w:type="paragraph" w:customStyle="1" w:styleId="s44">
    <w:name w:val="s44"/>
    <w:basedOn w:val="a"/>
    <w:rsid w:val="00AB735F"/>
    <w:pPr>
      <w:spacing w:before="100" w:beforeAutospacing="1" w:after="100" w:afterAutospacing="1"/>
    </w:pPr>
  </w:style>
  <w:style w:type="paragraph" w:customStyle="1" w:styleId="s26">
    <w:name w:val="s26"/>
    <w:basedOn w:val="a"/>
    <w:rsid w:val="00AB735F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B735F"/>
  </w:style>
  <w:style w:type="paragraph" w:customStyle="1" w:styleId="s4">
    <w:name w:val="s4"/>
    <w:basedOn w:val="a"/>
    <w:rsid w:val="00AB735F"/>
    <w:pPr>
      <w:spacing w:before="100" w:beforeAutospacing="1" w:after="100" w:afterAutospacing="1"/>
    </w:pPr>
  </w:style>
  <w:style w:type="paragraph" w:customStyle="1" w:styleId="s7">
    <w:name w:val="s7"/>
    <w:basedOn w:val="a"/>
    <w:rsid w:val="00AB735F"/>
    <w:pPr>
      <w:spacing w:before="100" w:beforeAutospacing="1" w:after="100" w:afterAutospacing="1"/>
    </w:pPr>
  </w:style>
  <w:style w:type="paragraph" w:customStyle="1" w:styleId="s10">
    <w:name w:val="s10"/>
    <w:basedOn w:val="a"/>
    <w:rsid w:val="00AB735F"/>
    <w:pPr>
      <w:spacing w:before="100" w:beforeAutospacing="1" w:after="100" w:afterAutospacing="1"/>
    </w:pPr>
  </w:style>
  <w:style w:type="paragraph" w:customStyle="1" w:styleId="s33">
    <w:name w:val="s33"/>
    <w:basedOn w:val="a"/>
    <w:rsid w:val="00AB735F"/>
    <w:pPr>
      <w:spacing w:before="100" w:beforeAutospacing="1" w:after="100" w:afterAutospacing="1"/>
    </w:pPr>
  </w:style>
  <w:style w:type="paragraph" w:customStyle="1" w:styleId="s40">
    <w:name w:val="s40"/>
    <w:basedOn w:val="a"/>
    <w:rsid w:val="00AB735F"/>
    <w:pPr>
      <w:spacing w:before="100" w:beforeAutospacing="1" w:after="100" w:afterAutospacing="1"/>
    </w:pPr>
  </w:style>
  <w:style w:type="paragraph" w:customStyle="1" w:styleId="s56">
    <w:name w:val="s56"/>
    <w:basedOn w:val="a"/>
    <w:rsid w:val="00AB735F"/>
    <w:pPr>
      <w:spacing w:before="100" w:beforeAutospacing="1" w:after="100" w:afterAutospacing="1"/>
    </w:pPr>
  </w:style>
  <w:style w:type="paragraph" w:customStyle="1" w:styleId="s59">
    <w:name w:val="s59"/>
    <w:basedOn w:val="a"/>
    <w:rsid w:val="00AB735F"/>
    <w:pPr>
      <w:spacing w:before="100" w:beforeAutospacing="1" w:after="100" w:afterAutospacing="1"/>
    </w:pPr>
  </w:style>
  <w:style w:type="paragraph" w:customStyle="1" w:styleId="s61">
    <w:name w:val="s61"/>
    <w:basedOn w:val="a"/>
    <w:rsid w:val="00AB735F"/>
    <w:pPr>
      <w:spacing w:before="100" w:beforeAutospacing="1" w:after="100" w:afterAutospacing="1"/>
    </w:pPr>
  </w:style>
  <w:style w:type="paragraph" w:customStyle="1" w:styleId="s62">
    <w:name w:val="s62"/>
    <w:basedOn w:val="a"/>
    <w:rsid w:val="00AB735F"/>
    <w:pPr>
      <w:spacing w:before="100" w:beforeAutospacing="1" w:after="100" w:afterAutospacing="1"/>
    </w:pPr>
  </w:style>
  <w:style w:type="character" w:customStyle="1" w:styleId="s11">
    <w:name w:val="s11"/>
    <w:basedOn w:val="a0"/>
    <w:rsid w:val="00AB735F"/>
  </w:style>
  <w:style w:type="character" w:customStyle="1" w:styleId="s58">
    <w:name w:val="s58"/>
    <w:basedOn w:val="a0"/>
    <w:rsid w:val="00AB735F"/>
  </w:style>
  <w:style w:type="character" w:customStyle="1" w:styleId="s67">
    <w:name w:val="s67"/>
    <w:basedOn w:val="a0"/>
    <w:rsid w:val="00AB735F"/>
  </w:style>
  <w:style w:type="character" w:customStyle="1" w:styleId="s68">
    <w:name w:val="s68"/>
    <w:basedOn w:val="a0"/>
    <w:rsid w:val="00AB735F"/>
  </w:style>
  <w:style w:type="paragraph" w:customStyle="1" w:styleId="ConsPlusNormal">
    <w:name w:val="ConsPlusNormal"/>
    <w:link w:val="ConsPlusNormal1"/>
    <w:rsid w:val="00AB73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B73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49">
    <w:name w:val="s49"/>
    <w:basedOn w:val="a"/>
    <w:rsid w:val="00C23129"/>
    <w:pPr>
      <w:spacing w:before="100" w:beforeAutospacing="1" w:after="100" w:afterAutospacing="1"/>
    </w:pPr>
  </w:style>
  <w:style w:type="paragraph" w:styleId="a3">
    <w:name w:val="List Paragraph"/>
    <w:basedOn w:val="a"/>
    <w:link w:val="a4"/>
    <w:rsid w:val="00C2312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locked/>
    <w:rsid w:val="00C2312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2023-03-21T08:04:00Z</dcterms:created>
  <dcterms:modified xsi:type="dcterms:W3CDTF">2023-03-21T08:08:00Z</dcterms:modified>
</cp:coreProperties>
</file>